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263A" w14:textId="77777777" w:rsidR="00DE1334" w:rsidRPr="00DE1334" w:rsidRDefault="00DE1334" w:rsidP="00DE1334">
      <w:pPr>
        <w:shd w:val="clear" w:color="auto" w:fill="FFFFFF"/>
        <w:spacing w:before="300" w:after="150" w:line="240" w:lineRule="auto"/>
        <w:outlineLvl w:val="1"/>
        <w:rPr>
          <w:rFonts w:ascii="Arial" w:eastAsia="Times New Roman" w:hAnsi="Arial" w:cs="Arial"/>
          <w:color w:val="004B16"/>
          <w:sz w:val="39"/>
          <w:szCs w:val="39"/>
          <w:lang w:eastAsia="fr-FR"/>
        </w:rPr>
      </w:pPr>
      <w:r w:rsidRPr="00DE1334">
        <w:rPr>
          <w:rFonts w:ascii="Arial" w:eastAsia="Times New Roman" w:hAnsi="Arial" w:cs="Arial"/>
          <w:color w:val="004B16"/>
          <w:sz w:val="39"/>
          <w:szCs w:val="39"/>
          <w:lang w:eastAsia="fr-FR"/>
        </w:rPr>
        <w:t>Quelles plantes pour quels effets ?</w:t>
      </w:r>
    </w:p>
    <w:p w14:paraId="6B1B3B4F" w14:textId="77777777" w:rsidR="00DE1334" w:rsidRPr="00DE1334" w:rsidRDefault="00DE1334" w:rsidP="00DE1334">
      <w:pPr>
        <w:spacing w:after="150" w:line="240" w:lineRule="auto"/>
        <w:rPr>
          <w:rFonts w:ascii="Helvetica" w:eastAsia="Times New Roman" w:hAnsi="Helvetica" w:cs="Helvetica"/>
          <w:color w:val="000000"/>
          <w:sz w:val="21"/>
          <w:szCs w:val="21"/>
          <w:shd w:val="clear" w:color="auto" w:fill="FFFFFF"/>
          <w:lang w:eastAsia="fr-FR"/>
        </w:rPr>
      </w:pPr>
      <w:r w:rsidRPr="00DE1334">
        <w:rPr>
          <w:rFonts w:ascii="Helvetica" w:eastAsia="Times New Roman" w:hAnsi="Helvetica" w:cs="Helvetica"/>
          <w:color w:val="000000"/>
          <w:sz w:val="21"/>
          <w:szCs w:val="21"/>
          <w:shd w:val="clear" w:color="auto" w:fill="FFFFFF"/>
          <w:lang w:eastAsia="fr-FR"/>
        </w:rPr>
        <w:t>Tout autour de nos habitations et jardin, on retrouve une multitude d’herbes qui peuvent servir à composer des purins, véritable solution miracle pour fertiliser le sol, repousser certains parasites ou bien limiter certaines maladies. Si ce n’est pas le cas, il est possible d’utiliser des plantes séchées ou en granulés, en vente dans les jardineries. Petit passage en revue des </w:t>
      </w:r>
      <w:hyperlink r:id="rId5" w:tgtFrame="_blank" w:history="1">
        <w:r w:rsidRPr="00DE1334">
          <w:rPr>
            <w:rFonts w:ascii="Helvetica" w:eastAsia="Times New Roman" w:hAnsi="Helvetica" w:cs="Helvetica"/>
            <w:color w:val="004B16"/>
            <w:sz w:val="21"/>
            <w:szCs w:val="21"/>
            <w:u w:val="single"/>
            <w:lang w:eastAsia="fr-FR"/>
          </w:rPr>
          <w:t>plantes conseillées</w:t>
        </w:r>
      </w:hyperlink>
      <w:r w:rsidRPr="00DE1334">
        <w:rPr>
          <w:rFonts w:ascii="Helvetica" w:eastAsia="Times New Roman" w:hAnsi="Helvetica" w:cs="Helvetica"/>
          <w:color w:val="000000"/>
          <w:sz w:val="21"/>
          <w:szCs w:val="21"/>
          <w:shd w:val="clear" w:color="auto" w:fill="FFFFFF"/>
          <w:lang w:eastAsia="fr-FR"/>
        </w:rPr>
        <w:t> pour réaliser des purins faits maison.</w:t>
      </w:r>
    </w:p>
    <w:p w14:paraId="0EBF4767" w14:textId="77777777" w:rsidR="00DE1334" w:rsidRPr="00DE1334" w:rsidRDefault="00DE1334" w:rsidP="00DE1334">
      <w:pPr>
        <w:numPr>
          <w:ilvl w:val="0"/>
          <w:numId w:val="1"/>
        </w:numPr>
        <w:spacing w:before="100" w:beforeAutospacing="1" w:after="100" w:afterAutospacing="1" w:line="240" w:lineRule="auto"/>
        <w:rPr>
          <w:rFonts w:ascii="Helvetica" w:eastAsia="Times New Roman" w:hAnsi="Helvetica" w:cs="Helvetica"/>
          <w:color w:val="000000"/>
          <w:sz w:val="21"/>
          <w:szCs w:val="21"/>
          <w:shd w:val="clear" w:color="auto" w:fill="FFFFFF"/>
          <w:lang w:eastAsia="fr-FR"/>
        </w:rPr>
      </w:pPr>
      <w:r w:rsidRPr="00DE1334">
        <w:rPr>
          <w:rFonts w:ascii="Helvetica" w:eastAsia="Times New Roman" w:hAnsi="Helvetica" w:cs="Helvetica"/>
          <w:b/>
          <w:bCs/>
          <w:color w:val="000000"/>
          <w:sz w:val="21"/>
          <w:szCs w:val="21"/>
          <w:shd w:val="clear" w:color="auto" w:fill="FFFFFF"/>
          <w:lang w:eastAsia="fr-FR"/>
        </w:rPr>
        <w:t>Prêle :</w:t>
      </w:r>
      <w:r w:rsidRPr="00DE1334">
        <w:rPr>
          <w:rFonts w:ascii="Helvetica" w:eastAsia="Times New Roman" w:hAnsi="Helvetica" w:cs="Helvetica"/>
          <w:color w:val="000000"/>
          <w:sz w:val="21"/>
          <w:szCs w:val="21"/>
          <w:shd w:val="clear" w:color="auto" w:fill="FFFFFF"/>
          <w:lang w:eastAsia="fr-FR"/>
        </w:rPr>
        <w:t> on la trouve, à la belle saison, dans les fossés, en lisière de bois ou bien dans des zones humides. Elle peut être considérée comme invasive dans les jardins. </w:t>
      </w:r>
      <w:hyperlink r:id="rId6" w:history="1">
        <w:r w:rsidRPr="00DE1334">
          <w:rPr>
            <w:rFonts w:ascii="Helvetica" w:eastAsia="Times New Roman" w:hAnsi="Helvetica" w:cs="Helvetica"/>
            <w:color w:val="004B16"/>
            <w:sz w:val="21"/>
            <w:szCs w:val="21"/>
            <w:u w:val="single"/>
            <w:lang w:eastAsia="fr-FR"/>
          </w:rPr>
          <w:t>Le purin de prêle</w:t>
        </w:r>
      </w:hyperlink>
      <w:r w:rsidRPr="00DE1334">
        <w:rPr>
          <w:rFonts w:ascii="Helvetica" w:eastAsia="Times New Roman" w:hAnsi="Helvetica" w:cs="Helvetica"/>
          <w:color w:val="000000"/>
          <w:sz w:val="21"/>
          <w:szCs w:val="21"/>
          <w:shd w:val="clear" w:color="auto" w:fill="FFFFFF"/>
          <w:lang w:eastAsia="fr-FR"/>
        </w:rPr>
        <w:t> prévient de maladies cryptogamiques comme l’oïdium des courges, le mildiou des pommes de terre ou des tomates, la cloque du pêcher et la rouille du rosier. En pulvérisation, dilué à 10%. Dès présence de champignons, à pulvériser tous les 3 à 4 jours.</w:t>
      </w:r>
    </w:p>
    <w:p w14:paraId="5B22FE14" w14:textId="77777777" w:rsidR="00DE1334" w:rsidRPr="00DE1334" w:rsidRDefault="00DE1334" w:rsidP="00DE1334">
      <w:pPr>
        <w:numPr>
          <w:ilvl w:val="0"/>
          <w:numId w:val="1"/>
        </w:numPr>
        <w:spacing w:before="100" w:beforeAutospacing="1" w:after="100" w:afterAutospacing="1" w:line="240" w:lineRule="auto"/>
        <w:rPr>
          <w:rFonts w:ascii="Helvetica" w:eastAsia="Times New Roman" w:hAnsi="Helvetica" w:cs="Helvetica"/>
          <w:color w:val="000000"/>
          <w:sz w:val="21"/>
          <w:szCs w:val="21"/>
          <w:shd w:val="clear" w:color="auto" w:fill="FFFFFF"/>
          <w:lang w:eastAsia="fr-FR"/>
        </w:rPr>
      </w:pPr>
      <w:r w:rsidRPr="00DE1334">
        <w:rPr>
          <w:rFonts w:ascii="Helvetica" w:eastAsia="Times New Roman" w:hAnsi="Helvetica" w:cs="Helvetica"/>
          <w:b/>
          <w:bCs/>
          <w:color w:val="000000"/>
          <w:sz w:val="21"/>
          <w:szCs w:val="21"/>
          <w:shd w:val="clear" w:color="auto" w:fill="FFFFFF"/>
          <w:lang w:eastAsia="fr-FR"/>
        </w:rPr>
        <w:t>Consoude : </w:t>
      </w:r>
      <w:r w:rsidRPr="00DE1334">
        <w:rPr>
          <w:rFonts w:ascii="Helvetica" w:eastAsia="Times New Roman" w:hAnsi="Helvetica" w:cs="Helvetica"/>
          <w:color w:val="000000"/>
          <w:sz w:val="21"/>
          <w:szCs w:val="21"/>
          <w:shd w:val="clear" w:color="auto" w:fill="FFFFFF"/>
          <w:lang w:eastAsia="fr-FR"/>
        </w:rPr>
        <w:t>ses fleurs en forme de clochettes attirent les insectes pollinisateurs. On la trouve dans les jardins, les prairies ou les fossés à partir du printemps et elle peut être envahissante. </w:t>
      </w:r>
      <w:hyperlink r:id="rId7" w:history="1">
        <w:r w:rsidRPr="00DE1334">
          <w:rPr>
            <w:rFonts w:ascii="Helvetica" w:eastAsia="Times New Roman" w:hAnsi="Helvetica" w:cs="Helvetica"/>
            <w:color w:val="004B16"/>
            <w:sz w:val="21"/>
            <w:szCs w:val="21"/>
            <w:u w:val="single"/>
            <w:lang w:eastAsia="fr-FR"/>
          </w:rPr>
          <w:t>Le purin de consoude</w:t>
        </w:r>
      </w:hyperlink>
      <w:r w:rsidRPr="00DE1334">
        <w:rPr>
          <w:rFonts w:ascii="Helvetica" w:eastAsia="Times New Roman" w:hAnsi="Helvetica" w:cs="Helvetica"/>
          <w:color w:val="000000"/>
          <w:sz w:val="21"/>
          <w:szCs w:val="21"/>
          <w:shd w:val="clear" w:color="auto" w:fill="FFFFFF"/>
          <w:lang w:eastAsia="fr-FR"/>
        </w:rPr>
        <w:t> favorise le développement des fruits, tubercules et fleurs. En pulvérisation, dilué à 5% et en arrosage, dilué à 10%, tous les 15 jours.</w:t>
      </w:r>
    </w:p>
    <w:p w14:paraId="687A1FED" w14:textId="77777777" w:rsidR="00DE1334" w:rsidRPr="00DE1334" w:rsidRDefault="00DE1334" w:rsidP="00DE1334">
      <w:pPr>
        <w:numPr>
          <w:ilvl w:val="0"/>
          <w:numId w:val="1"/>
        </w:numPr>
        <w:spacing w:before="100" w:beforeAutospacing="1" w:after="100" w:afterAutospacing="1" w:line="240" w:lineRule="auto"/>
        <w:rPr>
          <w:rFonts w:ascii="Helvetica" w:eastAsia="Times New Roman" w:hAnsi="Helvetica" w:cs="Helvetica"/>
          <w:color w:val="000000"/>
          <w:sz w:val="21"/>
          <w:szCs w:val="21"/>
          <w:shd w:val="clear" w:color="auto" w:fill="FFFFFF"/>
          <w:lang w:eastAsia="fr-FR"/>
        </w:rPr>
      </w:pPr>
      <w:r w:rsidRPr="00DE1334">
        <w:rPr>
          <w:rFonts w:ascii="Helvetica" w:eastAsia="Times New Roman" w:hAnsi="Helvetica" w:cs="Helvetica"/>
          <w:b/>
          <w:bCs/>
          <w:color w:val="000000"/>
          <w:sz w:val="21"/>
          <w:szCs w:val="21"/>
          <w:shd w:val="clear" w:color="auto" w:fill="FFFFFF"/>
          <w:lang w:eastAsia="fr-FR"/>
        </w:rPr>
        <w:t>Rhubarbe :</w:t>
      </w:r>
      <w:r w:rsidRPr="00DE1334">
        <w:rPr>
          <w:rFonts w:ascii="Helvetica" w:eastAsia="Times New Roman" w:hAnsi="Helvetica" w:cs="Helvetica"/>
          <w:color w:val="000000"/>
          <w:sz w:val="21"/>
          <w:szCs w:val="21"/>
          <w:shd w:val="clear" w:color="auto" w:fill="FFFFFF"/>
          <w:lang w:eastAsia="fr-FR"/>
        </w:rPr>
        <w:t> les feuilles et les tiges se récoltent au printemps. </w:t>
      </w:r>
      <w:hyperlink r:id="rId8" w:history="1">
        <w:r w:rsidRPr="00DE1334">
          <w:rPr>
            <w:rFonts w:ascii="Helvetica" w:eastAsia="Times New Roman" w:hAnsi="Helvetica" w:cs="Helvetica"/>
            <w:color w:val="004B16"/>
            <w:sz w:val="21"/>
            <w:szCs w:val="21"/>
            <w:u w:val="single"/>
            <w:lang w:eastAsia="fr-FR"/>
          </w:rPr>
          <w:t>Le purin de rhubarbe</w:t>
        </w:r>
      </w:hyperlink>
      <w:r w:rsidRPr="00DE1334">
        <w:rPr>
          <w:rFonts w:ascii="Helvetica" w:eastAsia="Times New Roman" w:hAnsi="Helvetica" w:cs="Helvetica"/>
          <w:color w:val="000000"/>
          <w:sz w:val="21"/>
          <w:szCs w:val="21"/>
          <w:shd w:val="clear" w:color="auto" w:fill="FFFFFF"/>
          <w:lang w:eastAsia="fr-FR"/>
        </w:rPr>
        <w:t> repousse les pucerons, les limaces, les escargots, la mouche de la carotte et la teigne du poireau.</w:t>
      </w:r>
    </w:p>
    <w:p w14:paraId="3027BF0F" w14:textId="77777777" w:rsidR="00DE1334" w:rsidRPr="00DE1334" w:rsidRDefault="00DE1334" w:rsidP="00DE1334">
      <w:pPr>
        <w:numPr>
          <w:ilvl w:val="0"/>
          <w:numId w:val="1"/>
        </w:numPr>
        <w:spacing w:before="100" w:beforeAutospacing="1" w:after="100" w:afterAutospacing="1" w:line="240" w:lineRule="auto"/>
        <w:rPr>
          <w:rFonts w:ascii="Helvetica" w:eastAsia="Times New Roman" w:hAnsi="Helvetica" w:cs="Helvetica"/>
          <w:color w:val="000000"/>
          <w:sz w:val="21"/>
          <w:szCs w:val="21"/>
          <w:shd w:val="clear" w:color="auto" w:fill="FFFFFF"/>
          <w:lang w:eastAsia="fr-FR"/>
        </w:rPr>
      </w:pPr>
      <w:r w:rsidRPr="00DE1334">
        <w:rPr>
          <w:rFonts w:ascii="Helvetica" w:eastAsia="Times New Roman" w:hAnsi="Helvetica" w:cs="Helvetica"/>
          <w:b/>
          <w:bCs/>
          <w:color w:val="000000"/>
          <w:sz w:val="21"/>
          <w:szCs w:val="21"/>
          <w:shd w:val="clear" w:color="auto" w:fill="FFFFFF"/>
          <w:lang w:eastAsia="fr-FR"/>
        </w:rPr>
        <w:t>Pissenlit :</w:t>
      </w:r>
      <w:r w:rsidRPr="00DE1334">
        <w:rPr>
          <w:rFonts w:ascii="Helvetica" w:eastAsia="Times New Roman" w:hAnsi="Helvetica" w:cs="Helvetica"/>
          <w:color w:val="000000"/>
          <w:sz w:val="21"/>
          <w:szCs w:val="21"/>
          <w:shd w:val="clear" w:color="auto" w:fill="FFFFFF"/>
          <w:lang w:eastAsia="fr-FR"/>
        </w:rPr>
        <w:t> son purin de feuilles et de racines stimule et favorise les défenses des arbres fruitiers. Il prévient aussi certaines maladies cryptogamiques comme la tavelure. Ce purin stimule aussi les défenses des arbres fruitiers. En pulvérisation, dilué à 5%.</w:t>
      </w:r>
    </w:p>
    <w:p w14:paraId="7FD974DE" w14:textId="77777777" w:rsidR="00DE1334" w:rsidRPr="00DE1334" w:rsidRDefault="00DE1334" w:rsidP="00DE1334">
      <w:pPr>
        <w:numPr>
          <w:ilvl w:val="0"/>
          <w:numId w:val="1"/>
        </w:numPr>
        <w:spacing w:before="100" w:beforeAutospacing="1" w:after="100" w:afterAutospacing="1" w:line="240" w:lineRule="auto"/>
        <w:rPr>
          <w:rFonts w:ascii="Helvetica" w:eastAsia="Times New Roman" w:hAnsi="Helvetica" w:cs="Helvetica"/>
          <w:color w:val="000000"/>
          <w:sz w:val="21"/>
          <w:szCs w:val="21"/>
          <w:shd w:val="clear" w:color="auto" w:fill="FFFFFF"/>
          <w:lang w:eastAsia="fr-FR"/>
        </w:rPr>
      </w:pPr>
      <w:r w:rsidRPr="00DE1334">
        <w:rPr>
          <w:rFonts w:ascii="Helvetica" w:eastAsia="Times New Roman" w:hAnsi="Helvetica" w:cs="Helvetica"/>
          <w:b/>
          <w:bCs/>
          <w:color w:val="000000"/>
          <w:sz w:val="21"/>
          <w:szCs w:val="21"/>
          <w:shd w:val="clear" w:color="auto" w:fill="FFFFFF"/>
          <w:lang w:eastAsia="fr-FR"/>
        </w:rPr>
        <w:t>Ortie : </w:t>
      </w:r>
      <w:r w:rsidRPr="00DE1334">
        <w:rPr>
          <w:rFonts w:ascii="Helvetica" w:eastAsia="Times New Roman" w:hAnsi="Helvetica" w:cs="Helvetica"/>
          <w:color w:val="000000"/>
          <w:sz w:val="21"/>
          <w:szCs w:val="21"/>
          <w:shd w:val="clear" w:color="auto" w:fill="FFFFFF"/>
          <w:lang w:eastAsia="fr-FR"/>
        </w:rPr>
        <w:t>les cueillir, non montées en graines, du printemps jusqu’aux premières gelées. 1 kg de feuilles fraîches pour 10 L d’eau de pluie, de préférence. Stimulant, </w:t>
      </w:r>
      <w:hyperlink r:id="rId9" w:history="1">
        <w:r w:rsidRPr="00DE1334">
          <w:rPr>
            <w:rFonts w:ascii="Helvetica" w:eastAsia="Times New Roman" w:hAnsi="Helvetica" w:cs="Helvetica"/>
            <w:color w:val="004B16"/>
            <w:sz w:val="21"/>
            <w:szCs w:val="21"/>
            <w:u w:val="single"/>
            <w:lang w:eastAsia="fr-FR"/>
          </w:rPr>
          <w:t>le purin d’orties</w:t>
        </w:r>
      </w:hyperlink>
      <w:r w:rsidRPr="00DE1334">
        <w:rPr>
          <w:rFonts w:ascii="Helvetica" w:eastAsia="Times New Roman" w:hAnsi="Helvetica" w:cs="Helvetica"/>
          <w:color w:val="000000"/>
          <w:sz w:val="21"/>
          <w:szCs w:val="21"/>
          <w:shd w:val="clear" w:color="auto" w:fill="FFFFFF"/>
          <w:lang w:eastAsia="fr-FR"/>
        </w:rPr>
        <w:t> favorise leur croissance. En pulvérisation, dilué à 5% et en arrosage, dilué à 10%. A apporter toutes les 2 à 3 semaines.</w:t>
      </w:r>
    </w:p>
    <w:p w14:paraId="5465615B" w14:textId="77777777" w:rsidR="00106165" w:rsidRDefault="00106165"/>
    <w:sectPr w:rsidR="00106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BCD"/>
    <w:multiLevelType w:val="multilevel"/>
    <w:tmpl w:val="5D0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7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34"/>
    <w:rsid w:val="00106165"/>
    <w:rsid w:val="004339DA"/>
    <w:rsid w:val="00A044B1"/>
    <w:rsid w:val="00DE1334"/>
    <w:rsid w:val="00F03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54D7"/>
  <w15:chartTrackingRefBased/>
  <w15:docId w15:val="{EA6C5ABB-E4AF-437B-ADE8-E5CACCF1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7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tica.fr/tv/preparation-purin-rhubarbe-repulsif-naturel,13707.html" TargetMode="External"/><Relationship Id="rId3" Type="http://schemas.openxmlformats.org/officeDocument/2006/relationships/settings" Target="settings.xml"/><Relationship Id="rId7" Type="http://schemas.openxmlformats.org/officeDocument/2006/relationships/hyperlink" Target="https://www.rustica.fr/tv/purin-consoude,1370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ustica.fr/tv/preparation-purin-rhubarbe-repulsif-naturel,13715.html" TargetMode="External"/><Relationship Id="rId11" Type="http://schemas.openxmlformats.org/officeDocument/2006/relationships/theme" Target="theme/theme1.xml"/><Relationship Id="rId5" Type="http://schemas.openxmlformats.org/officeDocument/2006/relationships/hyperlink" Target="https://www.hozelock.fr/wp-content/uploads/2019/01/Biomix-Leaflet-F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ustica.fr/tv/preparer-purin-ortie,42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2073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Gallier</dc:creator>
  <cp:keywords/>
  <dc:description/>
  <cp:lastModifiedBy>patricia Gallier</cp:lastModifiedBy>
  <cp:revision>2</cp:revision>
  <dcterms:created xsi:type="dcterms:W3CDTF">2022-11-24T16:45:00Z</dcterms:created>
  <dcterms:modified xsi:type="dcterms:W3CDTF">2022-11-24T16:45:00Z</dcterms:modified>
</cp:coreProperties>
</file>